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Madrid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15 días / 13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bookmarkStart w:colFirst="0" w:colLast="0" w:name="_heading=h.3znysh7" w:id="1"/>
      <w:bookmarkEnd w:id="1"/>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b w:val="1"/>
          <w:bCs w:val="1"/>
          <w:color w:val="0070c0"/>
          <w:sz w:val="28"/>
          <w:szCs w:val="28"/>
          <w:rtl w:val="0"/>
        </w:rPr>
        <w:t xml:space="preserve">USD 1.425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Blois – París – Luxemburgo – Rin – Frankfurt – Heidelberg – Selva Negra – Zúrich – Lucerna – Vaduz – Múnich – Innsbruck – Venecia – Roma.</w:t>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963424" cy="3257973"/>
            <wp:effectExtent b="0" l="0" r="0" t="0"/>
            <wp:docPr id="1634144280" name="image4.jpg"/>
            <a:graphic>
              <a:graphicData uri="http://schemas.openxmlformats.org/drawingml/2006/picture">
                <pic:pic>
                  <pic:nvPicPr>
                    <pic:cNvPr id="0" name="image4.jpg"/>
                    <pic:cNvPicPr preferRelativeResize="0"/>
                  </pic:nvPicPr>
                  <pic:blipFill>
                    <a:blip r:embed="rId7"/>
                    <a:srcRect b="5581" l="0" r="0" t="15143"/>
                    <a:stretch>
                      <a:fillRect/>
                    </a:stretch>
                  </pic:blipFill>
                  <pic:spPr>
                    <a:xfrm>
                      <a:off x="0" y="0"/>
                      <a:ext cx="5963424" cy="325797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(no incluido) intercontinental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w:t>
      </w:r>
      <w:r w:rsidDel="00000000" w:rsidR="00000000" w:rsidRPr="00000000">
        <w:rPr>
          <w:rFonts w:ascii="Times New Roman" w:cs="Times New Roman" w:eastAsia="Times New Roman" w:hAnsi="Times New Roman"/>
          <w:b w:val="1"/>
          <w:bCs w:val="1"/>
          <w:color w:val="000000"/>
          <w:rtl w:val="0"/>
        </w:rPr>
        <w:t xml:space="preserve">la 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Fuente de </w:t>
      </w:r>
      <w:r w:rsidDel="00000000" w:rsidR="00000000" w:rsidRPr="00000000">
        <w:rPr>
          <w:rFonts w:ascii="Times New Roman" w:cs="Times New Roman" w:eastAsia="Times New Roman" w:hAnsi="Times New Roman"/>
          <w:b w:val="1"/>
          <w:bCs w:val="1"/>
          <w:color w:val="000000"/>
          <w:rtl w:val="0"/>
        </w:rPr>
        <w:t xml:space="preserve">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famosa plaza de toros de Las Ventas</w:t>
      </w:r>
      <w:r w:rsidDel="00000000" w:rsidR="00000000" w:rsidRPr="00000000">
        <w:rPr>
          <w:rFonts w:ascii="Times New Roman" w:cs="Times New Roman" w:eastAsia="Times New Roman" w:hAnsi="Times New Roman"/>
          <w:color w:val="000000"/>
          <w:rtl w:val="0"/>
        </w:rPr>
        <w:t xml:space="preserve">,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 Imperial”</w:t>
      </w:r>
      <w:r w:rsidDel="00000000" w:rsidR="00000000" w:rsidRPr="00000000">
        <w:rPr>
          <w:rFonts w:ascii="Times New Roman" w:cs="Times New Roman" w:eastAsia="Times New Roman" w:hAnsi="Times New Roman"/>
          <w:color w:val="000000"/>
          <w:rtl w:val="0"/>
        </w:rPr>
        <w:t xml:space="preserve"> de Toledo, donde apreciaremos el legado de las tres culturas: árabe, judía y cristiana, que supieron convivir en armonía.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Burdeos, capital de la región </w:t>
      </w:r>
      <w:r w:rsidDel="00000000" w:rsidR="00000000" w:rsidRPr="00000000">
        <w:rPr>
          <w:rFonts w:ascii="Times New Roman" w:cs="Times New Roman" w:eastAsia="Times New Roman" w:hAnsi="Times New Roman"/>
          <w:b w:val="1"/>
          <w:bCs w:val="1"/>
          <w:color w:val="000000"/>
          <w:rtl w:val="0"/>
        </w:rPr>
        <w:t xml:space="preserve">Nueva Aquitania</w:t>
      </w:r>
      <w:r w:rsidDel="00000000" w:rsidR="00000000" w:rsidRPr="00000000">
        <w:rPr>
          <w:rFonts w:ascii="Times New Roman" w:cs="Times New Roman" w:eastAsia="Times New Roman" w:hAnsi="Times New Roman"/>
          <w:color w:val="000000"/>
          <w:rtl w:val="0"/>
        </w:rPr>
        <w:t xml:space="preserve">. Alojamiento y resto del día libre. Alojamiento.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587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Su </w:t>
      </w:r>
      <w:r w:rsidDel="00000000" w:rsidR="00000000" w:rsidRPr="00000000">
        <w:rPr>
          <w:rFonts w:ascii="Times New Roman" w:cs="Times New Roman" w:eastAsia="Times New Roman" w:hAnsi="Times New Roman"/>
          <w:b w:val="1"/>
          <w:bCs w:val="1"/>
          <w:color w:val="000000"/>
          <w:rtl w:val="0"/>
        </w:rPr>
        <w:t xml:space="preserve">Castillo</w:t>
      </w:r>
      <w:r w:rsidDel="00000000" w:rsidR="00000000" w:rsidRPr="00000000">
        <w:rPr>
          <w:rFonts w:ascii="Times New Roman" w:cs="Times New Roman" w:eastAsia="Times New Roman" w:hAnsi="Times New Roman"/>
          <w:color w:val="000000"/>
          <w:rtl w:val="0"/>
        </w:rPr>
        <w:t xml:space="preserve">, declarado Patrimonio de la Humanidad por la Unesco, es considerado uno de los más importantes de la región. Tras 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w:t>
      </w:r>
      <w:r w:rsidDel="00000000" w:rsidR="00000000" w:rsidRPr="00000000">
        <w:rPr>
          <w:rFonts w:ascii="Times New Roman" w:cs="Times New Roman" w:eastAsia="Times New Roman" w:hAnsi="Times New Roman"/>
          <w:color w:val="000000"/>
          <w:rtl w:val="0"/>
        </w:rPr>
        <w:t xml:space="preserve">sús.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  </w:t>
      </w:r>
      <w:r w:rsidDel="00000000" w:rsidR="00000000" w:rsidRPr="00000000">
        <w:rPr>
          <w:rFonts w:ascii="Times New Roman" w:cs="Times New Roman" w:eastAsia="Times New Roman" w:hAnsi="Times New Roman"/>
          <w:color w:val="000000"/>
          <w:rtl w:val="0"/>
        </w:rPr>
        <w:t xml:space="preserve">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LUXEMBURGO • VALLE DEL RIN • FRANKFURT (sábado) 607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FRANKFURT • HEIDELBERG • SELVA NEGRA • ZÚRICH (domingo) 422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 </w:t>
      </w:r>
      <w:r w:rsidDel="00000000" w:rsidR="00000000" w:rsidRPr="00000000">
        <w:rPr>
          <w:rFonts w:ascii="Times New Roman" w:cs="Times New Roman" w:eastAsia="Times New Roman" w:hAnsi="Times New Roman"/>
          <w:b w:val="1"/>
          <w:bCs w:val="1"/>
          <w:color w:val="000000"/>
          <w:rtl w:val="0"/>
        </w:rPr>
        <w:t xml:space="preserve">Nota: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ZÚRICH • LUCERNA • VADUZ • MÚNICH (lunes) 423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(martes) 550 km</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ROMA (miércoles) 527 km</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(jueves)</w:t>
      </w:r>
    </w:p>
    <w:p w:rsidR="00000000" w:rsidDel="00000000" w:rsidP="00000000" w:rsidRDefault="00000000" w:rsidRPr="00000000" w14:paraId="0000002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(viernes)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con la temporada). Alojamiento.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(sábado)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Frankfurt, 1 noche en Zúrich, 1 noche en Múnich, 1 noche en Venecia y 3 noches en Roma, en hoteles de categoría turista mencionados o similares.</w:t>
      </w:r>
    </w:p>
    <w:p w:rsidR="00000000" w:rsidDel="00000000" w:rsidP="00000000" w:rsidRDefault="00000000" w:rsidRPr="00000000" w14:paraId="00000039">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 </w:t>
      </w:r>
    </w:p>
    <w:p w:rsidR="00000000" w:rsidDel="00000000" w:rsidP="00000000" w:rsidRDefault="00000000" w:rsidRPr="00000000" w14:paraId="0000003A">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horario diurno y en servicio compartido.</w:t>
      </w:r>
    </w:p>
    <w:p w:rsidR="00000000" w:rsidDel="00000000" w:rsidP="00000000" w:rsidRDefault="00000000" w:rsidRPr="00000000" w14:paraId="0000003B">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 local en Madrid, París y Roma, con guías locales y en servicio compartido. </w:t>
      </w:r>
    </w:p>
    <w:p w:rsidR="00000000" w:rsidDel="00000000" w:rsidP="00000000" w:rsidRDefault="00000000" w:rsidRPr="00000000" w14:paraId="0000003C">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D">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w:t>
      </w:r>
    </w:p>
    <w:p w:rsidR="00000000" w:rsidDel="00000000" w:rsidP="00000000" w:rsidRDefault="00000000" w:rsidRPr="00000000" w14:paraId="0000003E">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F">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0">
      <w:pPr>
        <w:numPr>
          <w:ilvl w:val="0"/>
          <w:numId w:val="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r w:rsidDel="00000000" w:rsidR="00000000" w:rsidRPr="00000000">
        <w:rPr>
          <w:rtl w:val="0"/>
        </w:rPr>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6300.0" w:type="dxa"/>
        <w:jc w:val="center"/>
        <w:tblLayout w:type="fixed"/>
        <w:tblLook w:val="0400"/>
      </w:tblPr>
      <w:tblGrid>
        <w:gridCol w:w="2820"/>
        <w:gridCol w:w="1160"/>
        <w:gridCol w:w="1160"/>
        <w:gridCol w:w="1160"/>
        <w:tblGridChange w:id="0">
          <w:tblGrid>
            <w:gridCol w:w="2820"/>
            <w:gridCol w:w="116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2.166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2.531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3.078</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color w:val="002060"/>
              </w:rPr>
            </w:pPr>
            <w:r w:rsidDel="00000000" w:rsidR="00000000" w:rsidRPr="00000000">
              <w:rPr>
                <w:rFonts w:ascii="Times New Roman" w:cs="Times New Roman" w:eastAsia="Times New Roman" w:hAnsi="Times New Roman"/>
                <w:b w:val="1"/>
                <w:bCs w:val="1"/>
                <w:color w:val="002060"/>
                <w:rtl w:val="0"/>
              </w:rPr>
              <w:t xml:space="preserve">USD 1.425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1.665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2.025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1.158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1.350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1.638</w:t>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 </w:t>
      </w:r>
    </w:p>
    <w:tbl>
      <w:tblPr>
        <w:tblStyle w:val="Table2"/>
        <w:tblW w:w="80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41"/>
        <w:gridCol w:w="1134"/>
        <w:tblGridChange w:id="0">
          <w:tblGrid>
            <w:gridCol w:w="6941"/>
            <w:gridCol w:w="1134"/>
          </w:tblGrid>
        </w:tblGridChange>
      </w:tblGrid>
      <w:tr>
        <w:trPr>
          <w:cantSplit w:val="0"/>
          <w:tblHeader w:val="0"/>
        </w:trPr>
        <w:tc>
          <w:tcPr>
            <w:gridSpan w:val="2"/>
            <w:shd w:fill="1f4e79" w:val="clea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r w:rsidDel="00000000" w:rsidR="00000000" w:rsidRPr="00000000">
              <w:rPr>
                <w:rtl w:val="0"/>
              </w:rPr>
            </w:r>
          </w:p>
        </w:tc>
      </w:tr>
      <w:tr>
        <w:trPr>
          <w:cantSplit w:val="0"/>
          <w:tblHeader w:val="0"/>
        </w:trPr>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124.0" w:type="dxa"/>
        <w:jc w:val="center"/>
        <w:tblLayout w:type="fixed"/>
        <w:tblLook w:val="0400"/>
      </w:tblPr>
      <w:tblGrid>
        <w:gridCol w:w="1404"/>
        <w:gridCol w:w="1720"/>
        <w:tblGridChange w:id="0">
          <w:tblGrid>
            <w:gridCol w:w="1404"/>
            <w:gridCol w:w="1720"/>
          </w:tblGrid>
        </w:tblGridChange>
      </w:tblGrid>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2, 9, 16, 23, 30.</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6, 13, 20, 27.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7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bl>
      <w:tblPr>
        <w:tblStyle w:val="Table4"/>
        <w:tblW w:w="985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0"/>
        <w:gridCol w:w="5558"/>
        <w:gridCol w:w="1417"/>
        <w:gridCol w:w="1777"/>
        <w:tblGridChange w:id="0">
          <w:tblGrid>
            <w:gridCol w:w="1100"/>
            <w:gridCol w:w="5558"/>
            <w:gridCol w:w="1417"/>
            <w:gridCol w:w="1777"/>
          </w:tblGrid>
        </w:tblGridChange>
      </w:tblGrid>
      <w:tr>
        <w:trPr>
          <w:cantSplit w:val="0"/>
          <w:trHeight w:val="345" w:hRule="atLeast"/>
          <w:tblHeader w:val="0"/>
        </w:trPr>
        <w:tc>
          <w:tcPr>
            <w:gridSpan w:val="4"/>
            <w:shd w:fill="1f4e79"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15" w:hRule="atLeast"/>
          <w:tblHeader w:val="0"/>
        </w:trPr>
        <w:tc>
          <w:tcPr>
            <w:gridSpan w:val="4"/>
            <w:shd w:fill="1f4e79"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315" w:hRule="atLeast"/>
          <w:tblHeader w:val="0"/>
        </w:trPr>
        <w:tc>
          <w:tcPr>
            <w:shd w:fill="ffffff"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ffffff"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15" w:hRule="atLeast"/>
          <w:tblHeader w:val="0"/>
        </w:trPr>
        <w:tc>
          <w:tcPr>
            <w:shd w:fill="ffffff"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ffffff"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315" w:hRule="atLeast"/>
          <w:tblHeader w:val="0"/>
        </w:trPr>
        <w:tc>
          <w:tcPr>
            <w:vMerge w:val="restart"/>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5" w:hRule="atLeast"/>
          <w:tblHeader w:val="0"/>
        </w:trPr>
        <w:tc>
          <w:tcPr>
            <w:vMerge w:val="continue"/>
            <w:shd w:fill="ffffff" w:val="cle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15" w:hRule="atLeast"/>
          <w:tblHeader w:val="0"/>
        </w:trPr>
        <w:tc>
          <w:tcPr>
            <w:vMerge w:val="continue"/>
            <w:shd w:fill="ffffff"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5" w:hRule="atLeast"/>
          <w:tblHeader w:val="0"/>
        </w:trPr>
        <w:tc>
          <w:tcPr>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15" w:hRule="atLeast"/>
          <w:tblHeader w:val="0"/>
        </w:trPr>
        <w:tc>
          <w:tcPr>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15" w:hRule="atLeast"/>
          <w:tblHeader w:val="0"/>
        </w:trPr>
        <w:tc>
          <w:tcPr>
            <w:vMerge w:val="restart"/>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5" w:hRule="atLeast"/>
          <w:tblHeader w:val="0"/>
        </w:trPr>
        <w:tc>
          <w:tcPr>
            <w:vMerge w:val="continue"/>
            <w:shd w:fill="ffffff" w:val="cle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15" w:hRule="atLeast"/>
          <w:tblHeader w:val="0"/>
        </w:trPr>
        <w:tc>
          <w:tcPr>
            <w:vMerge w:val="restart"/>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3" w:hRule="atLeast"/>
          <w:tblHeader w:val="0"/>
        </w:trPr>
        <w:tc>
          <w:tcPr>
            <w:vMerge w:val="continue"/>
            <w:shd w:fill="ffffff"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go6tifgti77e" w:id="2"/>
            <w:bookmarkEnd w:id="2"/>
            <w:r w:rsidDel="00000000" w:rsidR="00000000" w:rsidRPr="00000000">
              <w:rPr>
                <w:rFonts w:ascii="Times New Roman" w:cs="Times New Roman" w:eastAsia="Times New Roman" w:hAnsi="Times New Roman"/>
                <w:color w:val="000000"/>
                <w:rtl w:val="0"/>
              </w:rPr>
              <w:t xml:space="preserve">Museos Vaticanos y Capilla Sixtina </w:t>
            </w:r>
          </w:p>
        </w:tc>
        <w:tc>
          <w:tcPr>
            <w:shd w:fill="ffffff"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5" w:hRule="atLeast"/>
          <w:tblHeader w:val="0"/>
        </w:trPr>
        <w:tc>
          <w:tcPr>
            <w:vMerge w:val="continue"/>
            <w:shd w:fill="ffffff"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 </w:t>
            </w:r>
          </w:p>
        </w:tc>
        <w:tc>
          <w:tcPr>
            <w:shd w:fill="ffffff"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15" w:hRule="atLeast"/>
          <w:tblHeader w:val="0"/>
        </w:trPr>
        <w:tc>
          <w:tcPr>
            <w:vMerge w:val="continue"/>
            <w:shd w:fill="ffffff" w:val="clear"/>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ffffff"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B">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C">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rPr>
        <w:drawing>
          <wp:inline distB="0" distT="0" distL="0" distR="0">
            <wp:extent cx="1550122" cy="1512004"/>
            <wp:effectExtent b="0" l="0" r="0" t="0"/>
            <wp:docPr id="1634144281" name="image5.png"/>
            <a:graphic>
              <a:graphicData uri="http://schemas.openxmlformats.org/drawingml/2006/picture">
                <pic:pic>
                  <pic:nvPicPr>
                    <pic:cNvPr id="0" name="image5.png"/>
                    <pic:cNvPicPr preferRelativeResize="0"/>
                  </pic:nvPicPr>
                  <pic:blipFill>
                    <a:blip r:embed="rId9"/>
                    <a:srcRect b="0" l="0" r="0" t="19966"/>
                    <a:stretch>
                      <a:fillRect/>
                    </a:stretch>
                  </pic:blipFill>
                  <pic:spPr>
                    <a:xfrm>
                      <a:off x="0" y="0"/>
                      <a:ext cx="1550122" cy="1512004"/>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100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6"/>
        <w:gridCol w:w="8774"/>
        <w:tblGridChange w:id="0">
          <w:tblGrid>
            <w:gridCol w:w="1286"/>
            <w:gridCol w:w="8774"/>
          </w:tblGrid>
        </w:tblGridChange>
      </w:tblGrid>
      <w:tr>
        <w:trPr>
          <w:cantSplit w:val="0"/>
          <w:trHeight w:val="428" w:hRule="atLeast"/>
          <w:tblHeader w:val="0"/>
        </w:trPr>
        <w:tc>
          <w:tcPr>
            <w:gridSpan w:val="2"/>
            <w:shd w:fill="1f4e79" w:val="clear"/>
            <w:tcMar>
              <w:top w:w="0.0" w:type="dxa"/>
              <w:left w:w="115.0" w:type="dxa"/>
              <w:bottom w:w="0.0" w:type="dxa"/>
              <w:right w:w="115.0" w:type="dxa"/>
            </w:tcM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33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54" w:hRule="atLeast"/>
          <w:tblHeader w:val="0"/>
        </w:trPr>
        <w:tc>
          <w:tcPr>
            <w:tcMar>
              <w:top w:w="0.0" w:type="dxa"/>
              <w:left w:w="115.0" w:type="dxa"/>
              <w:bottom w:w="0.0" w:type="dxa"/>
              <w:right w:w="115.0" w:type="dxa"/>
            </w:tcM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Mar>
              <w:top w:w="0.0" w:type="dxa"/>
              <w:left w:w="115.0" w:type="dxa"/>
              <w:bottom w:w="0.0" w:type="dxa"/>
              <w:right w:w="115.0" w:type="dxa"/>
            </w:tcMar>
            <w:vAlign w:val="center"/>
          </w:tcPr>
          <w:p w:rsidR="00000000" w:rsidDel="00000000" w:rsidP="00000000" w:rsidRDefault="00000000" w:rsidRPr="00000000" w14:paraId="000000C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shd w:fill="auto" w:val="clear"/>
            <w:tcMar>
              <w:top w:w="0.0" w:type="dxa"/>
              <w:left w:w="115.0" w:type="dxa"/>
              <w:bottom w:w="0.0" w:type="dxa"/>
              <w:right w:w="115.0" w:type="dxa"/>
            </w:tcMar>
            <w:vAlign w:val="center"/>
          </w:tcPr>
          <w:p w:rsidR="00000000" w:rsidDel="00000000" w:rsidP="00000000" w:rsidRDefault="00000000" w:rsidRPr="00000000" w14:paraId="000000C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Centre Gare St Jean / Best Hotel Sud / B&amp;B Bassins à Flot / Ace Cestas / B&amp;B Hotel Merignac de Ville / B&amp;B Mios.</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C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C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Achat Airport /Achat Wiesbaden City/ Nh Airport West / Mercure Hotel Eschborn Helfmann Park / Mercure Hotel Eschborn Ost / Mercure Hotel Eschborn Sued.</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C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D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Sendling / Tulip Inn Messe / Bento Inn Munich / Hampton By Hilton City Nord / Mercure Neuperlach South/ Select Augsburg.</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D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Sirio / San Giuliano / Villa Pace Park Bolognese / Alexander/ Belstay Marghera / Albatros / Trifoglio.</w:t>
            </w:r>
          </w:p>
        </w:tc>
      </w:tr>
      <w:tr>
        <w:trPr>
          <w:cantSplit w:val="0"/>
          <w:trHeight w:val="254"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D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bl>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D8">
      <w:pPr>
        <w:numPr>
          <w:ilvl w:val="0"/>
          <w:numId w:val="4"/>
        </w:numPr>
        <w:spacing w:after="0" w:line="240" w:lineRule="auto"/>
        <w:ind w:left="720" w:hanging="360"/>
        <w:jc w:val="both"/>
        <w:rPr>
          <w:color w:val="000000"/>
        </w:rPr>
      </w:pPr>
      <w:bookmarkStart w:colFirst="0" w:colLast="0" w:name="_heading=h.rq33fi6uy44p"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9">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DA">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DB">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DC">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DD">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DE">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DF">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considera como No Show y cualquier gasto o traslado en que el pasajero incurra, el operador ni Volando Viajes serán responsables.</w:t>
      </w:r>
    </w:p>
    <w:p w:rsidR="00000000" w:rsidDel="00000000" w:rsidP="00000000" w:rsidRDefault="00000000" w:rsidRPr="00000000" w14:paraId="000000E0">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1">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E2">
      <w:pPr>
        <w:numPr>
          <w:ilvl w:val="0"/>
          <w:numId w:val="5"/>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3">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4">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5">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6">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7">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8">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E9">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EA">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EB">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C">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ED">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E">
      <w:pPr>
        <w:numPr>
          <w:ilvl w:val="0"/>
          <w:numId w:val="6"/>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EF">
      <w:pPr>
        <w:numPr>
          <w:ilvl w:val="0"/>
          <w:numId w:val="6"/>
        </w:numPr>
        <w:spacing w:after="0" w:line="240" w:lineRule="auto"/>
        <w:ind w:left="720" w:hanging="360"/>
        <w:jc w:val="both"/>
        <w:rPr>
          <w:color w:val="000000"/>
        </w:rPr>
      </w:pPr>
      <w:bookmarkStart w:colFirst="0" w:colLast="0" w:name="_heading=h.7arvc9suupqg" w:id="4"/>
      <w:bookmarkEnd w:id="4"/>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0">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w:t>
      </w: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color w:val="000000"/>
          <w:rtl w:val="0"/>
        </w:rPr>
        <w:t xml:space="preserve">olando Viajes no se hace responsable en caso de ser negado el ingreso al destino por no cumplir con la documentación requerida en migración.</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tyjcwt" w:id="5"/>
      <w:bookmarkEnd w:id="5"/>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shd w:fill="ffffff" w:val="clea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r w:rsidDel="00000000" w:rsidR="00000000" w:rsidRPr="00000000">
        <w:rPr>
          <w:rtl w:val="0"/>
        </w:rPr>
      </w:r>
    </w:p>
    <w:p w:rsidR="00000000" w:rsidDel="00000000" w:rsidP="00000000" w:rsidRDefault="00000000" w:rsidRPr="00000000" w14:paraId="000000F5">
      <w:pPr>
        <w:numPr>
          <w:ilvl w:val="0"/>
          <w:numId w:val="8"/>
        </w:numP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6">
      <w:pPr>
        <w:numPr>
          <w:ilvl w:val="0"/>
          <w:numId w:val="8"/>
        </w:numP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F7">
      <w:pP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8">
      <w:pPr>
        <w:shd w:fill="ffffff" w:val="clea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r w:rsidDel="00000000" w:rsidR="00000000" w:rsidRPr="00000000">
        <w:rPr>
          <w:rtl w:val="0"/>
        </w:rPr>
      </w:r>
    </w:p>
    <w:p w:rsidR="00000000" w:rsidDel="00000000" w:rsidP="00000000" w:rsidRDefault="00000000" w:rsidRPr="00000000" w14:paraId="000000F9">
      <w:pPr>
        <w:numPr>
          <w:ilvl w:val="0"/>
          <w:numId w:val="9"/>
        </w:numP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FA">
      <w:pPr>
        <w:shd w:fill="ffffff" w:val="clea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E">
      <w:pPr>
        <w:numPr>
          <w:ilvl w:val="0"/>
          <w:numId w:val="2"/>
        </w:numPr>
        <w:shd w:fill="ffffff" w:val="clear"/>
        <w:spacing w:after="0" w:line="276" w:lineRule="auto"/>
        <w:ind w:left="720" w:hanging="360"/>
        <w:jc w:val="both"/>
        <w:rPr>
          <w:color w:val="222222"/>
        </w:rPr>
      </w:pPr>
      <w:r w:rsidDel="00000000" w:rsidR="00000000" w:rsidRPr="00000000">
        <w:rPr>
          <w:rFonts w:ascii="Times New Roman" w:cs="Times New Roman" w:eastAsia="Times New Roman" w:hAnsi="Times New Roman"/>
          <w:rtl w:val="0"/>
        </w:rPr>
        <w:t xml:space="preserve">Desde el momento de la reserva y hasta 61 días antes de la fecha de salida, un cargo por cancelación del 30% sobre el valor total de la reserva. </w:t>
      </w:r>
      <w:r w:rsidDel="00000000" w:rsidR="00000000" w:rsidRPr="00000000">
        <w:rPr>
          <w:rtl w:val="0"/>
        </w:rPr>
      </w:r>
    </w:p>
    <w:p w:rsidR="00000000" w:rsidDel="00000000" w:rsidP="00000000" w:rsidRDefault="00000000" w:rsidRPr="00000000" w14:paraId="000000FF">
      <w:pPr>
        <w:numPr>
          <w:ilvl w:val="0"/>
          <w:numId w:val="2"/>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0">
      <w:pPr>
        <w:numPr>
          <w:ilvl w:val="0"/>
          <w:numId w:val="2"/>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1">
      <w:pPr>
        <w:numPr>
          <w:ilvl w:val="0"/>
          <w:numId w:val="2"/>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102">
      <w:pPr>
        <w:shd w:fill="ffffff" w:val="clea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4">
      <w:pPr>
        <w:jc w:val="both"/>
        <w:rPr>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70.0" w:type="dxa"/>
        <w:right w:w="70.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rive.google.com/uc?export=download&amp;id=1nIHgEjWQXLcgA0Cexn6HjYO_Wfu3rwL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9IiWtNcxuldgaAgCn021DoI3QA==">CgMxLjAyCWguMzBqMHpsbDIJaC4zem55c2g3Mg5oLmdvNnRpZmd0aTc3ZTIOaC5ycTMzZmk2dXk0NHAyDmguN2FydmM5c3V1cHFnMghoLnR5amN3dDgAciExZ3F4eWtQRUFFbmozWmJtLUhmdE1QTElibWd2dUZMdkE=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2026-05-22T16:05:00Z</dcterms:created>
  <dc:creator>David Javier Plazas Velasquez</dc:creator>
</cp:coreProperties>
</file>