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París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17 días / 15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70c0"/>
          <w:sz w:val="28"/>
          <w:szCs w:val="28"/>
          <w:rtl w:val="0"/>
        </w:rPr>
        <w:t xml:space="preserve">USD 1.455</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Luxemburgo – Rin – Frankfurt – Heidelberg – Selva Negra – Zúrich – Lucerna – Vaduz – Múnich – Innsbruck – Venecia – Roma – Florencia – Pisa – Costa Azul – Barcelona – Zaragoza y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6394594" cy="3492579"/>
            <wp:effectExtent b="0" l="0" r="0" t="0"/>
            <wp:docPr id="1634144280" name="image5.png"/>
            <a:graphic>
              <a:graphicData uri="http://schemas.openxmlformats.org/drawingml/2006/picture">
                <pic:pic>
                  <pic:nvPicPr>
                    <pic:cNvPr id="0" name="image5.png"/>
                    <pic:cNvPicPr preferRelativeResize="0"/>
                  </pic:nvPicPr>
                  <pic:blipFill>
                    <a:blip r:embed="rId7"/>
                    <a:srcRect b="11002" l="0" r="0" t="3984"/>
                    <a:stretch>
                      <a:fillRect/>
                    </a:stretch>
                  </pic:blipFill>
                  <pic:spPr>
                    <a:xfrm>
                      <a:off x="0" y="0"/>
                      <a:ext cx="6394594" cy="349257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oqli5n62xa6n" w:id="1"/>
      <w:bookmarkEnd w:id="1"/>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(viernes)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w:t>
      </w:r>
      <w:r w:rsidDel="00000000" w:rsidR="00000000" w:rsidRPr="00000000">
        <w:rPr>
          <w:rFonts w:ascii="Times New Roman" w:cs="Times New Roman" w:eastAsia="Times New Roman" w:hAnsi="Times New Roman"/>
          <w:rtl w:val="0"/>
        </w:rPr>
        <w:t xml:space="preserve">recomendamos</w:t>
      </w:r>
      <w:r w:rsidDel="00000000" w:rsidR="00000000" w:rsidRPr="00000000">
        <w:rPr>
          <w:rFonts w:ascii="Times New Roman" w:cs="Times New Roman" w:eastAsia="Times New Roman" w:hAnsi="Times New Roman"/>
          <w:color w:val="000000"/>
          <w:rtl w:val="0"/>
        </w:rPr>
        <w:t xml:space="preserve">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LUXEMBURGO • VALLE DEL RIN • FRANKFURT (sábado) 607 km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FRANKFURT • HEIDELBERG • SELVA NEGRA • ZÚRICH (domingo) 422 km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Nota: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ZÚRICH • LUCERNA • VADUZ • MÚNICH (lunes) 423 km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MÚNICH • INNSBRUCK • VERONA • VENECIA (martes) 550 km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ROMA (miércoles) 527 km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(jueves) </w:t>
      </w:r>
    </w:p>
    <w:p w:rsidR="00000000" w:rsidDel="00000000" w:rsidP="00000000" w:rsidRDefault="00000000" w:rsidRPr="00000000" w14:paraId="0000002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(viernes)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 FLORENCIA (sábado) 345 km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FLORENCIA • PISA • COSTA AZUL (domingo) 451 km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666666"/>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 </w:t>
      </w:r>
      <w:r w:rsidDel="00000000" w:rsidR="00000000" w:rsidRPr="00000000">
        <w:rPr>
          <w:rFonts w:ascii="Times New Roman" w:cs="Times New Roman" w:eastAsia="Times New Roman" w:hAnsi="Times New Roman"/>
          <w:b w:val="1"/>
          <w:bCs w:val="1"/>
          <w:color w:val="000000"/>
          <w:rtl w:val="0"/>
        </w:rPr>
        <w:t xml:space="preserve">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666666"/>
          <w:rtl w:val="0"/>
        </w:rPr>
        <w:t xml:space="preserv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666666"/>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COSTA AZUL • BARCELONA (lunes) 660 km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BARCELONA • ZARAGOZA • MADRID (martes) 620 km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Basílica de Nuestra Señora del Pilar,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MADRID (miércoles)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plaza de toros de las Ventas, etc. Después, continuando por la zona moderna, finalizaremos en el Madrid de los Austrias.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compartir en armonía todo su esplendor. Alojamiento.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MADRID (jueves)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1 noche en Frankfurt, 1 noche en Zúrich, 1 noche en Múnich, 1 noche en Venecia, 3 noches en Roma, 1 noche en Florencia, 1 noche en Niza (Costa Azul), 1 noche en Barcelona y 2 noches en Madrid, en hoteles de categoría turista mencionados o similares.</w:t>
      </w:r>
    </w:p>
    <w:p w:rsidR="00000000" w:rsidDel="00000000" w:rsidP="00000000" w:rsidRDefault="00000000" w:rsidRPr="00000000" w14:paraId="0000004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2et92p0" w:id="2"/>
      <w:bookmarkEnd w:id="2"/>
      <w:r w:rsidDel="00000000" w:rsidR="00000000" w:rsidRPr="00000000">
        <w:rPr>
          <w:rFonts w:ascii="Times New Roman" w:cs="Times New Roman" w:eastAsia="Times New Roman" w:hAnsi="Times New Roman"/>
          <w:color w:val="000000"/>
          <w:rtl w:val="0"/>
        </w:rPr>
        <w:t xml:space="preserve">Traslado Aeropuerto – hotel previsto o similar en París, en horario diurno y en servicio compartido. </w:t>
      </w:r>
    </w:p>
    <w:p w:rsidR="00000000" w:rsidDel="00000000" w:rsidP="00000000" w:rsidRDefault="00000000" w:rsidRPr="00000000" w14:paraId="00000043">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 Roma, Florencia y Madrid, con guías locales y en servicio compartido.</w:t>
      </w:r>
    </w:p>
    <w:p w:rsidR="00000000" w:rsidDel="00000000" w:rsidP="00000000" w:rsidRDefault="00000000" w:rsidRPr="00000000" w14:paraId="00000044">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w:t>
      </w:r>
      <w:r w:rsidDel="00000000" w:rsidR="00000000" w:rsidRPr="00000000">
        <w:rPr>
          <w:rFonts w:ascii="Times New Roman" w:cs="Times New Roman" w:eastAsia="Times New Roman" w:hAnsi="Times New Roman"/>
          <w:rtl w:val="0"/>
        </w:rPr>
        <w:t xml:space="preserve"> K</w:t>
      </w:r>
      <w:r w:rsidDel="00000000" w:rsidR="00000000" w:rsidRPr="00000000">
        <w:rPr>
          <w:rFonts w:ascii="Times New Roman" w:cs="Times New Roman" w:eastAsia="Times New Roman" w:hAnsi="Times New Roman"/>
          <w:color w:val="000000"/>
          <w:rtl w:val="0"/>
        </w:rPr>
        <w:t xml:space="preserve">g y 1 morral personal de 8 </w:t>
      </w:r>
      <w:r w:rsidDel="00000000" w:rsidR="00000000" w:rsidRPr="00000000">
        <w:rPr>
          <w:rFonts w:ascii="Times New Roman" w:cs="Times New Roman" w:eastAsia="Times New Roman" w:hAnsi="Times New Roman"/>
          <w:rtl w:val="0"/>
        </w:rPr>
        <w:t xml:space="preserve">K</w:t>
      </w:r>
      <w:r w:rsidDel="00000000" w:rsidR="00000000" w:rsidRPr="00000000">
        <w:rPr>
          <w:rFonts w:ascii="Times New Roman" w:cs="Times New Roman" w:eastAsia="Times New Roman" w:hAnsi="Times New Roman"/>
          <w:color w:val="000000"/>
          <w:rtl w:val="0"/>
        </w:rPr>
        <w:t xml:space="preserve">g).</w:t>
      </w:r>
    </w:p>
    <w:p w:rsidR="00000000" w:rsidDel="00000000" w:rsidP="00000000" w:rsidRDefault="00000000" w:rsidRPr="00000000" w14:paraId="00000045">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6">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7">
      <w:pPr>
        <w:numPr>
          <w:ilvl w:val="0"/>
          <w:numId w:val="7"/>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8">
      <w:pPr>
        <w:numPr>
          <w:ilvl w:val="0"/>
          <w:numId w:val="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A">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B">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F">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previsto o similar – Aeropuerto Internacional Adolfo Suárez, Madrid-Barajas.</w:t>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Suplemento por traslados llegando a un aeropuerto diferente al Paris Orly o Charles De Gaulle. </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Times New Roman" w:cs="Times New Roman" w:eastAsia="Times New Roman" w:hAnsi="Times New Roman"/>
          <w:color w:val="000000"/>
          <w:rtl w:val="0"/>
        </w:rPr>
        <w:t xml:space="preserve">Excursiones opcionales. </w:t>
      </w:r>
    </w:p>
    <w:tbl>
      <w:tblPr>
        <w:tblStyle w:val="Table1"/>
        <w:tblW w:w="6300.0" w:type="dxa"/>
        <w:jc w:val="center"/>
        <w:tblLayout w:type="fixed"/>
        <w:tblLook w:val="0400"/>
      </w:tblPr>
      <w:tblGrid>
        <w:gridCol w:w="2820"/>
        <w:gridCol w:w="1160"/>
        <w:gridCol w:w="1160"/>
        <w:gridCol w:w="1160"/>
        <w:tblGridChange w:id="0">
          <w:tblGrid>
            <w:gridCol w:w="282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2.212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2.576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3.124</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0070c0"/>
                <w:rtl w:val="0"/>
              </w:rPr>
              <w:t xml:space="preserve">USD 1.455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1.695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2.055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USD 1.182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1.374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1.662</w:t>
            </w:r>
          </w:p>
        </w:tc>
      </w:tr>
    </w:tbl>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963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7"/>
        <w:gridCol w:w="1420"/>
        <w:tblGridChange w:id="0">
          <w:tblGrid>
            <w:gridCol w:w="8217"/>
            <w:gridCol w:w="1420"/>
          </w:tblGrid>
        </w:tblGridChange>
      </w:tblGrid>
      <w:tr>
        <w:trPr>
          <w:cantSplit w:val="0"/>
          <w:tblHeader w:val="0"/>
        </w:trPr>
        <w:tc>
          <w:tcPr>
            <w:gridSpan w:val="2"/>
            <w:shd w:fill="1f4e79"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w:t>
            </w:r>
            <w:r w:rsidDel="00000000" w:rsidR="00000000" w:rsidRPr="00000000">
              <w:rPr>
                <w:rtl w:val="0"/>
              </w:rPr>
            </w:r>
          </w:p>
        </w:tc>
      </w:tr>
      <w:tr>
        <w:trPr>
          <w:cantSplit w:val="0"/>
          <w:tblHeader w:val="0"/>
        </w:trPr>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6E">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319"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13, 20, 27.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5, 12, 19, 26.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2, 9, 16, 23.</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rPr>
      </w:pPr>
      <w:r w:rsidDel="00000000" w:rsidR="00000000" w:rsidRPr="00000000">
        <w:rPr>
          <w:rtl w:val="0"/>
        </w:rPr>
      </w:r>
    </w:p>
    <w:tbl>
      <w:tblPr>
        <w:tblStyle w:val="Table4"/>
        <w:tblW w:w="93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9"/>
        <w:gridCol w:w="4820"/>
        <w:gridCol w:w="1701"/>
        <w:gridCol w:w="1701"/>
        <w:tblGridChange w:id="0">
          <w:tblGrid>
            <w:gridCol w:w="1129"/>
            <w:gridCol w:w="4820"/>
            <w:gridCol w:w="1701"/>
            <w:gridCol w:w="1701"/>
          </w:tblGrid>
        </w:tblGridChange>
      </w:tblGrid>
      <w:tr>
        <w:trPr>
          <w:cantSplit w:val="0"/>
          <w:trHeight w:val="296" w:hRule="atLeast"/>
          <w:tblHeader w:val="0"/>
        </w:trPr>
        <w:tc>
          <w:tcPr>
            <w:gridSpan w:val="4"/>
            <w:shd w:fill="1f4e79"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10" w:hRule="atLeast"/>
          <w:tblHeader w:val="0"/>
        </w:trPr>
        <w:tc>
          <w:tcPr>
            <w:gridSpan w:val="4"/>
            <w:shd w:fill="1f4e79"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310" w:hRule="atLeast"/>
          <w:tblHeader w:val="0"/>
        </w:trPr>
        <w:tc>
          <w:tcPr>
            <w:shd w:fill="ffffff"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ffffff"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(4 a 7 años)</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0" w:hRule="atLeast"/>
          <w:tblHeader w:val="0"/>
        </w:trPr>
        <w:tc>
          <w:tcPr>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10" w:hRule="atLeast"/>
          <w:tblHeader w:val="0"/>
        </w:trPr>
        <w:tc>
          <w:tcPr>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shd w:fill="ffffff" w:val="cle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ffffff"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ffffff"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330" w:hRule="atLeast"/>
          <w:tblHeader w:val="0"/>
        </w:trPr>
        <w:tc>
          <w:tcPr>
            <w:shd w:fill="ffffff"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ffffff"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shd w:fill="ffffff"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0" w:hRule="atLeast"/>
          <w:tblHeader w:val="0"/>
        </w:trPr>
        <w:tc>
          <w:tcPr>
            <w:shd w:fill="ffffff"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ffffff"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shd w:fill="ffffff"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ffffff"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C2">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Los valores en dólares americanos (USD), aplican siempre y cuando se paguen desde origen, se podrán reservar las excursiones opcionales, directamente en destino, el pago se debe realizar en EUROS y/o con tarjeta de crédito (sujeto a disponibilidad y tarifa). </w:t>
      </w:r>
    </w:p>
    <w:p w:rsidR="00000000" w:rsidDel="00000000" w:rsidP="00000000" w:rsidRDefault="00000000" w:rsidRPr="00000000" w14:paraId="000000C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Pr>
        <w:drawing>
          <wp:inline distB="0" distT="0" distL="0" distR="0">
            <wp:extent cx="1409899" cy="1448004"/>
            <wp:effectExtent b="0" l="0" r="0" t="0"/>
            <wp:docPr id="1634144281" name="image1.png"/>
            <a:graphic>
              <a:graphicData uri="http://schemas.openxmlformats.org/drawingml/2006/picture">
                <pic:pic>
                  <pic:nvPicPr>
                    <pic:cNvPr id="0" name="image1.png"/>
                    <pic:cNvPicPr preferRelativeResize="0"/>
                  </pic:nvPicPr>
                  <pic:blipFill>
                    <a:blip r:embed="rId9"/>
                    <a:srcRect b="0" l="0" r="0" t="19879"/>
                    <a:stretch>
                      <a:fillRect/>
                    </a:stretch>
                  </pic:blipFill>
                  <pic:spPr>
                    <a:xfrm>
                      <a:off x="0" y="0"/>
                      <a:ext cx="1409899" cy="1448004"/>
                    </a:xfrm>
                    <a:prstGeom prst="rect"/>
                    <a:ln/>
                  </pic:spPr>
                </pic:pic>
              </a:graphicData>
            </a:graphic>
          </wp:inline>
        </w:drawing>
      </w:r>
      <w:r w:rsidDel="00000000" w:rsidR="00000000" w:rsidRPr="00000000">
        <w:rPr>
          <w:rtl w:val="0"/>
        </w:rPr>
      </w:r>
    </w:p>
    <w:tbl>
      <w:tblPr>
        <w:tblStyle w:val="Table5"/>
        <w:tblW w:w="96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232"/>
        <w:tblGridChange w:id="0">
          <w:tblGrid>
            <w:gridCol w:w="1413"/>
            <w:gridCol w:w="8232"/>
          </w:tblGrid>
        </w:tblGridChange>
      </w:tblGrid>
      <w:tr>
        <w:trPr>
          <w:cantSplit w:val="0"/>
          <w:trHeight w:val="234" w:hRule="atLeast"/>
          <w:tblHeader w:val="0"/>
        </w:trPr>
        <w:tc>
          <w:tcPr>
            <w:gridSpan w:val="2"/>
            <w:shd w:fill="1f4e79" w:val="clear"/>
            <w:tcMar>
              <w:top w:w="0.0" w:type="dxa"/>
              <w:left w:w="115.0" w:type="dxa"/>
              <w:bottom w:w="0.0" w:type="dxa"/>
              <w:right w:w="115.0" w:type="dxa"/>
            </w:tcM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Hoteles Previstos o similares</w:t>
            </w:r>
            <w:r w:rsidDel="00000000" w:rsidR="00000000" w:rsidRPr="00000000">
              <w:rPr>
                <w:rtl w:val="0"/>
              </w:rPr>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C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C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Achat Airport /Achat Wiesbaden City/ Nh Airport West / Mercure Hotel Eschborn Helfmann Park / Mercure Hotel Eschborn Ost / Mercure Hotel Eschborn Sued.</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C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D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Sendling / Tulip Inn Messe / Bento Inn Munich / Hampton By Hilton City Nord / Mercure Neuperlach South/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D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Sirio / San Giuliano / Villa Pace Park Bolognese / Alexander/ Belstay Marghera / Albatros /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D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D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Europa Signa / Mirage / Delta / Miró / Fantastic Garden / The Gate.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shd w:fill="auto" w:val="clear"/>
            <w:tcMar>
              <w:top w:w="0.0" w:type="dxa"/>
              <w:left w:w="115.0" w:type="dxa"/>
              <w:bottom w:w="0.0" w:type="dxa"/>
              <w:right w:w="115.0" w:type="dxa"/>
            </w:tcMar>
            <w:vAlign w:val="center"/>
          </w:tcPr>
          <w:p w:rsidR="00000000" w:rsidDel="00000000" w:rsidP="00000000" w:rsidRDefault="00000000" w:rsidRPr="00000000" w14:paraId="000000D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Stade Riviera/ B&amp;B Aeroport Arenas / Kyriad Frejus Centre / Campanile Aeroport / Ibis Promenade des Anglais.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center"/>
          </w:tcPr>
          <w:p w:rsidR="00000000" w:rsidDel="00000000" w:rsidP="00000000" w:rsidRDefault="00000000" w:rsidRPr="00000000" w14:paraId="000000D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Frontair Congress / Catalonia Verdi Sabadell / Campanile Barberá / HLG Citypark Sant Just / Campanile Cornellá.</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15.0" w:type="dxa"/>
              <w:bottom w:w="0.0" w:type="dxa"/>
              <w:right w:w="115.0" w:type="dxa"/>
            </w:tcMar>
            <w:vAlign w:val="center"/>
          </w:tcPr>
          <w:p w:rsidR="00000000" w:rsidDel="00000000" w:rsidP="00000000" w:rsidRDefault="00000000" w:rsidRPr="00000000" w14:paraId="000000D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p>
        </w:tc>
      </w:tr>
    </w:tbl>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0">
      <w:pPr>
        <w:numPr>
          <w:ilvl w:val="0"/>
          <w:numId w:val="6"/>
        </w:numPr>
        <w:spacing w:after="0" w:line="240" w:lineRule="auto"/>
        <w:ind w:left="720" w:hanging="360"/>
        <w:jc w:val="both"/>
        <w:rPr>
          <w:color w:val="000000"/>
        </w:rPr>
      </w:pPr>
      <w:bookmarkStart w:colFirst="0" w:colLast="0" w:name="_heading=h.qk71bigq2kgd"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1">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2">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3">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4">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6">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7">
      <w:pPr>
        <w:numPr>
          <w:ilvl w:val="0"/>
          <w:numId w:val="1"/>
        </w:numPr>
        <w:spacing w:after="0" w:line="240" w:lineRule="auto"/>
        <w:ind w:left="720" w:hanging="360"/>
        <w:jc w:val="both"/>
        <w:rPr>
          <w:color w:val="000000"/>
        </w:rPr>
      </w:pPr>
      <w:bookmarkStart w:colFirst="0" w:colLast="0" w:name="_heading=h.gjdgxs" w:id="4"/>
      <w:bookmarkEnd w:id="4"/>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8">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9">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EA">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B">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D">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E">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F">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0">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1">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2">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F3">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5">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6">
      <w:pPr>
        <w:numPr>
          <w:ilvl w:val="0"/>
          <w:numId w:val="4"/>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F7">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8">
      <w:pPr>
        <w:numPr>
          <w:ilvl w:val="0"/>
          <w:numId w:val="4"/>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FE">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F">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02">
      <w:pPr>
        <w:numPr>
          <w:ilvl w:val="0"/>
          <w:numId w:val="2"/>
        </w:numPr>
        <w:pBdr>
          <w:top w:space="0" w:sz="0" w:val="nil"/>
          <w:left w:space="0" w:sz="0" w:val="nil"/>
          <w:bottom w:space="0" w:sz="0" w:val="nil"/>
          <w:right w:space="0" w:sz="0" w:val="nil"/>
          <w:between w:space="0" w:sz="0" w:val="nil"/>
        </w:pBdr>
        <w:spacing w:after="0" w:line="240" w:lineRule="auto"/>
        <w:ind w:left="72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06">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1fob9te" w:id="5"/>
      <w:bookmarkEnd w:id="5"/>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 </w:t>
      </w:r>
      <w:r w:rsidDel="00000000" w:rsidR="00000000" w:rsidRPr="00000000">
        <w:rPr>
          <w:rtl w:val="0"/>
        </w:rPr>
      </w:r>
    </w:p>
    <w:p w:rsidR="00000000" w:rsidDel="00000000" w:rsidP="00000000" w:rsidRDefault="00000000" w:rsidRPr="00000000" w14:paraId="00000107">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8">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9">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w:t>
      </w:r>
      <w:r w:rsidDel="00000000" w:rsidR="00000000" w:rsidRPr="00000000">
        <w:rPr>
          <w:rFonts w:ascii="Times New Roman" w:cs="Times New Roman" w:eastAsia="Times New Roman" w:hAnsi="Times New Roman"/>
          <w:b w:val="1"/>
          <w:bCs w:val="1"/>
          <w:rtl w:val="0"/>
        </w:rPr>
        <w:t xml:space="preserve">Decreto 1074 de 2015 y Ley 1558 del 2012.</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2.jpg"/>
          <a:graphic>
            <a:graphicData uri="http://schemas.openxmlformats.org/drawingml/2006/picture">
              <pic:pic>
                <pic:nvPicPr>
                  <pic:cNvPr descr="Imagen que contiene Texto&#10;&#10;Descripción generada automáticamente" id="0" name="image2.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3.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paragraph" w:styleId="Default" w:customStyle="1">
    <w:name w:val="Default"/>
    <w:rsid w:val="00823B3F"/>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yperlink" Target="https://drive.google.com/uc?export=download&amp;id=1BpxgvPZAQVPkrppdJdFLm7Bj0oAFxer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3JZEeb+RPJyWlPFgffmWmR1NkQ==">CgMxLjAyCWguMzBqMHpsbDIOaC5vcWxpNW42MnhhNm4yCWguMmV0OTJwMDIOaC5xazcxYmlncTJrZ2QyCGguZ2pkZ3hzMgloLjFmb2I5dGU4AHIhMWdkb2FHcmhqdVdxdDdBY3Q1SVpudjNsTWNHbVRMZjBt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2026-05-22T16:08:00Z</dcterms:created>
  <dc:creator>David Javier Plazas Velasquez</dc:creator>
</cp:coreProperties>
</file>