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París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bookmarkStart w:colFirst="0" w:colLast="0" w:name="_heading=h.3znysh7" w:id="1"/>
      <w:bookmarkEnd w:id="1"/>
      <w:r w:rsidDel="00000000" w:rsidR="00000000" w:rsidRPr="00000000">
        <w:rPr>
          <w:rFonts w:ascii="Times New Roman" w:cs="Times New Roman" w:eastAsia="Times New Roman" w:hAnsi="Times New Roman"/>
          <w:b w:val="1"/>
          <w:bCs w:val="1"/>
          <w:color w:val="000000"/>
          <w:sz w:val="28"/>
          <w:szCs w:val="28"/>
          <w:rtl w:val="0"/>
        </w:rPr>
        <w:t xml:space="preserve">20 días / 18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b050"/>
          <w:sz w:val="28"/>
          <w:szCs w:val="28"/>
          <w:rtl w:val="0"/>
        </w:rPr>
        <w:t xml:space="preserve">USD 2.049</w:t>
      </w:r>
      <w:r w:rsidDel="00000000" w:rsidR="00000000" w:rsidRPr="00000000">
        <w:rPr>
          <w:rFonts w:ascii="Times New Roman" w:cs="Times New Roman" w:eastAsia="Times New Roman" w:hAnsi="Times New Roman"/>
          <w:b w:val="1"/>
          <w:bCs w:val="1"/>
          <w:color w:val="92d050"/>
          <w:sz w:val="28"/>
          <w:szCs w:val="28"/>
          <w:rtl w:val="0"/>
        </w:rPr>
        <w:t xml:space="preserve"> </w:t>
      </w:r>
      <w:r w:rsidDel="00000000" w:rsidR="00000000" w:rsidRPr="00000000">
        <w:rPr>
          <w:rFonts w:ascii="Times New Roman" w:cs="Times New Roman" w:eastAsia="Times New Roman" w:hAnsi="Times New Roman"/>
          <w:b w:val="1"/>
          <w:bCs w:val="1"/>
          <w:color w:val="000000"/>
          <w:rtl w:val="0"/>
        </w:rPr>
        <w:t xml:space="preserve">por persona </w:t>
      </w:r>
      <w:r w:rsidDel="00000000" w:rsidR="00000000" w:rsidRPr="00000000">
        <w:rPr>
          <w:rFonts w:ascii="Times New Roman" w:cs="Times New Roman" w:eastAsia="Times New Roman" w:hAnsi="Times New Roman"/>
          <w:color w:val="000000"/>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Brujas - Ámsterdam - Colonia - Rin - Frankfurt - Rotemburgo - Praga - Múnich - Innsbruck - Verona - Venecia - Roma - Florencia - Pisa - Costa Azul- Barcelona - Zaragoza –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334629" cy="3673273"/>
            <wp:effectExtent b="0" l="0" r="0" t="0"/>
            <wp:docPr descr="Mapa mapa-green-paris-madrid" id="1634144284" name="image2.jpg"/>
            <a:graphic>
              <a:graphicData uri="http://schemas.openxmlformats.org/drawingml/2006/picture">
                <pic:pic>
                  <pic:nvPicPr>
                    <pic:cNvPr descr="Mapa mapa-green-paris-madrid" id="0" name="image2.jpg"/>
                    <pic:cNvPicPr preferRelativeResize="0"/>
                  </pic:nvPicPr>
                  <pic:blipFill>
                    <a:blip r:embed="rId7"/>
                    <a:srcRect b="9985" l="4755" r="15928" t="0"/>
                    <a:stretch>
                      <a:fillRect/>
                    </a:stretch>
                  </pic:blipFill>
                  <pic:spPr>
                    <a:xfrm>
                      <a:off x="0" y="0"/>
                      <a:ext cx="5334629" cy="367327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ariw78zwv0f" w:id="2"/>
      <w:bookmarkEnd w:id="2"/>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Avenida de los Campos Elíseos, la Plaza de la Concordia, el Arco del Triunfo, la Asamblea Nacional, la Ópera, el Museo del Louvre, los Inválidos, el Campo de Marte,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conocido como el “</w:t>
      </w:r>
      <w:r w:rsidDel="00000000" w:rsidR="00000000" w:rsidRPr="00000000">
        <w:rPr>
          <w:rFonts w:ascii="Times New Roman" w:cs="Times New Roman" w:eastAsia="Times New Roman" w:hAnsi="Times New Roman"/>
          <w:b w:val="1"/>
          <w:bCs w:val="1"/>
          <w:color w:val="000000"/>
          <w:rtl w:val="0"/>
        </w:rPr>
        <w:t xml:space="preserve">Barrio de los Pintores</w:t>
      </w:r>
      <w:r w:rsidDel="00000000" w:rsidR="00000000" w:rsidRPr="00000000">
        <w:rPr>
          <w:rFonts w:ascii="Times New Roman" w:cs="Times New Roman" w:eastAsia="Times New Roman" w:hAnsi="Times New Roman"/>
          <w:color w:val="000000"/>
          <w:rtl w:val="0"/>
        </w:rPr>
        <w:t xml:space="preserve">” por ser la cuna de los impresionistas. Sus callejuelas albergan desde los más antiguos cabarets hasta la Basílica del Sagrado Corazón de Jesús. A continuación, realizaremos un paseo por el Barrio Latino.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(viernes)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BRUJAS • ÁMSTERDAM (sábado) 570 km</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Brujas</w:t>
      </w:r>
      <w:r w:rsidDel="00000000" w:rsidR="00000000" w:rsidRPr="00000000">
        <w:rPr>
          <w:rFonts w:ascii="Times New Roman" w:cs="Times New Roman" w:eastAsia="Times New Roman" w:hAnsi="Times New Roman"/>
          <w:color w:val="000000"/>
          <w:rtl w:val="0"/>
        </w:rPr>
        <w:t xml:space="preserve">, donde tendremos tiempo libre. Recomendaremos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la ciudad, recorriendo el antiguo y nuevo Ayuntamiento, la Basílica de la Santa Sangre, la Catedral de El Salvador y el Lago del Amor.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ÁMSTERDAM (domingo)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puerto histórico, el antiguo </w:t>
      </w:r>
      <w:r w:rsidDel="00000000" w:rsidR="00000000" w:rsidRPr="00000000">
        <w:rPr>
          <w:rFonts w:ascii="Times New Roman" w:cs="Times New Roman" w:eastAsia="Times New Roman" w:hAnsi="Times New Roman"/>
          <w:b w:val="1"/>
          <w:bCs w:val="1"/>
          <w:color w:val="000000"/>
          <w:rtl w:val="0"/>
        </w:rPr>
        <w:t xml:space="preserve">Barrio Judío</w:t>
      </w:r>
      <w:r w:rsidDel="00000000" w:rsidR="00000000" w:rsidRPr="00000000">
        <w:rPr>
          <w:rFonts w:ascii="Times New Roman" w:cs="Times New Roman" w:eastAsia="Times New Roman" w:hAnsi="Times New Roman"/>
          <w:color w:val="000000"/>
          <w:rtl w:val="0"/>
        </w:rPr>
        <w:t xml:space="preserve"> con la Sinagoga portuguesa, atravesaremos el </w:t>
      </w:r>
      <w:r w:rsidDel="00000000" w:rsidR="00000000" w:rsidRPr="00000000">
        <w:rPr>
          <w:rFonts w:ascii="Times New Roman" w:cs="Times New Roman" w:eastAsia="Times New Roman" w:hAnsi="Times New Roman"/>
          <w:b w:val="1"/>
          <w:bCs w:val="1"/>
          <w:color w:val="000000"/>
          <w:rtl w:val="0"/>
        </w:rPr>
        <w:t xml:space="preserve">río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Ámstel</w:t>
      </w:r>
      <w:r w:rsidDel="00000000" w:rsidR="00000000" w:rsidRPr="00000000">
        <w:rPr>
          <w:rFonts w:ascii="Times New Roman" w:cs="Times New Roman" w:eastAsia="Times New Roman" w:hAnsi="Times New Roman"/>
          <w:color w:val="000000"/>
          <w:rtl w:val="0"/>
        </w:rPr>
        <w:t xml:space="preserve">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los pueblos pesqueros de </w:t>
      </w:r>
      <w:r w:rsidDel="00000000" w:rsidR="00000000" w:rsidRPr="00000000">
        <w:rPr>
          <w:rFonts w:ascii="Times New Roman" w:cs="Times New Roman" w:eastAsia="Times New Roman" w:hAnsi="Times New Roman"/>
          <w:b w:val="1"/>
          <w:bCs w:val="1"/>
          <w:color w:val="000000"/>
          <w:rtl w:val="0"/>
        </w:rPr>
        <w:t xml:space="preserve">Marken </w:t>
      </w:r>
      <w:r w:rsidDel="00000000" w:rsidR="00000000" w:rsidRPr="00000000">
        <w:rPr>
          <w:rFonts w:ascii="Times New Roman" w:cs="Times New Roman" w:eastAsia="Times New Roman" w:hAnsi="Times New Roman"/>
          <w:color w:val="000000"/>
          <w:rtl w:val="0"/>
        </w:rPr>
        <w:t xml:space="preserve">y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ÁMSTERDAM • COLONIA • VALLE DEL RIN • FRANKFURT (lunes) 451 km</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Colonia</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ROTEMBURGO • PRAGA (martes) 555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Ruta Romántica alemana. Más tarde, continuación hasta </w:t>
      </w:r>
      <w:r w:rsidDel="00000000" w:rsidR="00000000" w:rsidRPr="00000000">
        <w:rPr>
          <w:rFonts w:ascii="Times New Roman" w:cs="Times New Roman" w:eastAsia="Times New Roman" w:hAnsi="Times New Roman"/>
          <w:b w:val="1"/>
          <w:bCs w:val="1"/>
          <w:color w:val="000000"/>
          <w:rtl w:val="0"/>
        </w:rPr>
        <w:t xml:space="preserve">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PRAGA (miércoles)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PRAGA • MÚNICH (jueves) 382 km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Alojamiento.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(viernes) 561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ROMA (sábado) 527 km</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(domingo)</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(lunes)</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 FLORENCIA (martes) 345 km</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Giotto</w:t>
      </w:r>
      <w:r w:rsidDel="00000000" w:rsidR="00000000" w:rsidRPr="00000000">
        <w:rPr>
          <w:rFonts w:ascii="Times New Roman" w:cs="Times New Roman" w:eastAsia="Times New Roman" w:hAnsi="Times New Roman"/>
          <w:color w:val="000000"/>
          <w:rtl w:val="0"/>
        </w:rPr>
        <w:t xml:space="preserve">.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FLORENCIA • PISA • COSTA AZUL (miércoles) 451 km</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hacia la</w:t>
      </w:r>
      <w:r w:rsidDel="00000000" w:rsidR="00000000" w:rsidRPr="00000000">
        <w:rPr>
          <w:rFonts w:ascii="Times New Roman" w:cs="Times New Roman" w:eastAsia="Times New Roman" w:hAnsi="Times New Roman"/>
          <w:b w:val="1"/>
          <w:bCs w:val="1"/>
          <w:color w:val="000000"/>
          <w:rtl w:val="0"/>
        </w:rPr>
        <w:t xml:space="preserve"> 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COSTA AZUL • BARCELONA (jueves) 660 km</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BARCELONA • ZARAGOZA • MADRID (viernes) 620 km</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Basílica de Nuestra Señora del Pilar,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MADRID (sábado)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 Imperial</w:t>
      </w:r>
      <w:r w:rsidDel="00000000" w:rsidR="00000000" w:rsidRPr="00000000">
        <w:rPr>
          <w:rFonts w:ascii="Times New Roman" w:cs="Times New Roman" w:eastAsia="Times New Roman" w:hAnsi="Times New Roman"/>
          <w:color w:val="000000"/>
          <w:rtl w:val="0"/>
        </w:rPr>
        <w:t xml:space="preserve">” de Toledo, en cuyo recorrido apreciaremos el legado de las tres culturas: árabe, judía y cristiana, que supieron compartir en armonía todo su esplendor. Alojamiento.</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20: MADRID • COLOMBIA (domingo)</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2 noches en Ámsterdam, 1 noche en Frankfurt, 2 noches en Praga, 1 noche en Múnich, 1 noche en Venecia, 3 noches en Roma, 1 noche en Florencia, 1 noche en Costa Azul, 1 noche en Barcelona y 2 noches en Madrid, en hoteles de categoría turista mencionados o similares.</w:t>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7">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de París Orly o Charles de Gaulle (CDG) – hotel previsto o similar en París, en horario diurno y en servicio compartido. </w:t>
      </w:r>
    </w:p>
    <w:p w:rsidR="00000000" w:rsidDel="00000000" w:rsidP="00000000" w:rsidRDefault="00000000" w:rsidRPr="00000000" w14:paraId="00000048">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guías locales en París, Ámsterdam, Praga, Roma, Florencia y Madrid, con guías locales y en servicio compartido.</w:t>
      </w:r>
    </w:p>
    <w:p w:rsidR="00000000" w:rsidDel="00000000" w:rsidP="00000000" w:rsidRDefault="00000000" w:rsidRPr="00000000" w14:paraId="00000049">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8 Kg).</w:t>
      </w:r>
    </w:p>
    <w:p w:rsidR="00000000" w:rsidDel="00000000" w:rsidP="00000000" w:rsidRDefault="00000000" w:rsidRPr="00000000" w14:paraId="0000004A">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B">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C">
      <w:pPr>
        <w:numPr>
          <w:ilvl w:val="0"/>
          <w:numId w:val="8"/>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D">
      <w:pPr>
        <w:numPr>
          <w:ilvl w:val="0"/>
          <w:numId w:val="8"/>
        </w:numPr>
        <w:pBdr>
          <w:top w:space="0" w:sz="0" w:val="nil"/>
          <w:left w:space="0" w:sz="0" w:val="nil"/>
          <w:bottom w:space="0" w:sz="0" w:val="nil"/>
          <w:right w:space="0" w:sz="0" w:val="nil"/>
          <w:between w:space="0" w:sz="0" w:val="nil"/>
        </w:pBdr>
        <w:spacing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F">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3.5p % para pagos realizados a través de PSE, tarjeta de crédito o débito (valores no reembolsables). </w:t>
      </w:r>
    </w:p>
    <w:p w:rsidR="00000000" w:rsidDel="00000000" w:rsidP="00000000" w:rsidRDefault="00000000" w:rsidRPr="00000000" w14:paraId="0000005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 tasas o contribuciones que los graven, tales como: IVA, tasa aeroportuaria, impuestos de combustible, tarifa administrativa, impuestos de aeropuertos y salida de los países de origen y destino, otros cargos (sujetos a cambio). </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7">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8">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3xmz98acpioo" w:id="3"/>
      <w:bookmarkEnd w:id="3"/>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3.114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3.418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3.662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2.049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2.249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2.409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1.657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1.817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1.945</w:t>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80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276"/>
        <w:tblGridChange w:id="0">
          <w:tblGrid>
            <w:gridCol w:w="6799"/>
            <w:gridCol w:w="1276"/>
          </w:tblGrid>
        </w:tblGridChange>
      </w:tblGrid>
      <w:tr>
        <w:trPr>
          <w:cantSplit w:val="0"/>
          <w:tblHeader w:val="0"/>
        </w:trPr>
        <w:tc>
          <w:tcPr>
            <w:gridSpan w:val="2"/>
            <w:shd w:fill="00b050"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w:t>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3">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397.0" w:type="dxa"/>
        <w:jc w:val="center"/>
        <w:tblLayout w:type="fixed"/>
        <w:tblLook w:val="0400"/>
      </w:tblPr>
      <w:tblGrid>
        <w:gridCol w:w="1555"/>
        <w:gridCol w:w="1842"/>
        <w:tblGridChange w:id="0">
          <w:tblGrid>
            <w:gridCol w:w="1555"/>
            <w:gridCol w:w="1842"/>
          </w:tblGrid>
        </w:tblGridChange>
      </w:tblGrid>
      <w:tr>
        <w:trPr>
          <w:cantSplit w:val="0"/>
          <w:trHeight w:val="362"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2027</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2, 9, 16, 23.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86">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4"/>
        <w:tblW w:w="99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5580"/>
        <w:gridCol w:w="1455"/>
        <w:gridCol w:w="1350"/>
        <w:tblGridChange w:id="0">
          <w:tblGrid>
            <w:gridCol w:w="1545"/>
            <w:gridCol w:w="5580"/>
            <w:gridCol w:w="1455"/>
            <w:gridCol w:w="1350"/>
          </w:tblGrid>
        </w:tblGridChange>
      </w:tblGrid>
      <w:tr>
        <w:trPr>
          <w:cantSplit w:val="0"/>
          <w:trHeight w:val="306" w:hRule="atLeast"/>
          <w:tblHeader w:val="0"/>
        </w:trPr>
        <w:tc>
          <w:tcPr>
            <w:gridSpan w:val="4"/>
            <w:shd w:fill="00b050"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06" w:hRule="atLeast"/>
          <w:tblHeader w:val="0"/>
        </w:trPr>
        <w:tc>
          <w:tcPr>
            <w:gridSpan w:val="4"/>
            <w:shd w:fill="00b050"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623" w:hRule="atLeast"/>
          <w:tblHeader w:val="0"/>
        </w:trPr>
        <w:tc>
          <w:tcPr>
            <w:shd w:fill="00b050"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shd w:fill="00b050"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shd w:fill="00b050"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shd w:fill="00b050"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55" w:hRule="atLeast"/>
          <w:tblHeader w:val="0"/>
        </w:trPr>
        <w:tc>
          <w:tcPr>
            <w:vMerge w:val="continue"/>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Brujas</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9" w:hRule="atLeast"/>
          <w:tblHeader w:val="0"/>
        </w:trPr>
        <w:tc>
          <w:tcPr>
            <w:vMerge w:val="continue"/>
            <w:shd w:fill="auto"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 de abril a octubre)</w:t>
            </w:r>
          </w:p>
        </w:tc>
        <w:tc>
          <w:tcPr>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306" w:hRule="atLeast"/>
          <w:tblHeader w:val="0"/>
        </w:trPr>
        <w:tc>
          <w:tcPr>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Costa Azul</w:t>
            </w:r>
          </w:p>
        </w:tc>
        <w:tc>
          <w:tcPr>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 </w:t>
            </w:r>
          </w:p>
        </w:tc>
        <w:tc>
          <w:tcPr>
            <w:shd w:fill="auto"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06" w:hRule="atLeast"/>
          <w:tblHeader w:val="0"/>
        </w:trPr>
        <w:tc>
          <w:tcPr>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auto"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D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1379673" cy="1326315"/>
            <wp:effectExtent b="0" l="0" r="0" t="0"/>
            <wp:docPr id="1634144285" name="image5.png"/>
            <a:graphic>
              <a:graphicData uri="http://schemas.openxmlformats.org/drawingml/2006/picture">
                <pic:pic>
                  <pic:nvPicPr>
                    <pic:cNvPr id="0" name="image5.png"/>
                    <pic:cNvPicPr preferRelativeResize="0"/>
                  </pic:nvPicPr>
                  <pic:blipFill>
                    <a:blip r:embed="rId9"/>
                    <a:srcRect b="0" l="0" r="0" t="19959"/>
                    <a:stretch>
                      <a:fillRect/>
                    </a:stretch>
                  </pic:blipFill>
                  <pic:spPr>
                    <a:xfrm>
                      <a:off x="0" y="0"/>
                      <a:ext cx="1379673" cy="1326315"/>
                    </a:xfrm>
                    <a:prstGeom prst="rect"/>
                    <a:ln/>
                  </pic:spPr>
                </pic:pic>
              </a:graphicData>
            </a:graphic>
          </wp:inline>
        </w:drawing>
      </w:r>
      <w:r w:rsidDel="00000000" w:rsidR="00000000" w:rsidRPr="00000000">
        <w:rPr>
          <w:rtl w:val="0"/>
        </w:rPr>
      </w:r>
    </w:p>
    <w:tbl>
      <w:tblPr>
        <w:tblStyle w:val="Table5"/>
        <w:tblW w:w="105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9165"/>
        <w:tblGridChange w:id="0">
          <w:tblGrid>
            <w:gridCol w:w="1410"/>
            <w:gridCol w:w="9165"/>
          </w:tblGrid>
        </w:tblGridChange>
      </w:tblGrid>
      <w:tr>
        <w:trPr>
          <w:cantSplit w:val="0"/>
          <w:trHeight w:val="280" w:hRule="atLeast"/>
          <w:tblHeader w:val="0"/>
        </w:trPr>
        <w:tc>
          <w:tcPr>
            <w:gridSpan w:val="2"/>
            <w:shd w:fill="00b050" w:val="clear"/>
            <w:tcMar>
              <w:top w:w="0.0" w:type="dxa"/>
              <w:left w:w="115.0" w:type="dxa"/>
              <w:bottom w:w="0.0" w:type="dxa"/>
              <w:right w:w="115.0" w:type="dxa"/>
            </w:tcMar>
            <w:vAlign w:val="bottom"/>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E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Europa Signa / Mirage / Delta / Miró / Fantastic Garden / The Gate.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Costa Azul</w:t>
            </w:r>
          </w:p>
        </w:tc>
        <w:tc>
          <w:tcPr>
            <w:shd w:fill="auto" w:val="clear"/>
            <w:tcMar>
              <w:top w:w="0.0" w:type="dxa"/>
              <w:left w:w="115.0" w:type="dxa"/>
              <w:bottom w:w="0.0" w:type="dxa"/>
              <w:right w:w="115.0" w:type="dxa"/>
            </w:tcMar>
            <w:vAlign w:val="center"/>
          </w:tcPr>
          <w:p w:rsidR="00000000" w:rsidDel="00000000" w:rsidP="00000000" w:rsidRDefault="00000000" w:rsidRPr="00000000" w14:paraId="000000E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Stade Riviera/ B&amp;B Aeroport Arenas / Kyriad Frejus Centre / Campanile Aeroport / Ibis Promenade des Anglais.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center"/>
          </w:tcPr>
          <w:p w:rsidR="00000000" w:rsidDel="00000000" w:rsidP="00000000" w:rsidRDefault="00000000" w:rsidRPr="00000000" w14:paraId="000000E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Frontair Congress / Catalonia Verdi Sabadell / Campanile Barberá / HLG Citypark Sant Just / Campanile Cornellá.</w:t>
            </w:r>
          </w:p>
        </w:tc>
      </w:tr>
      <w:tr>
        <w:trPr>
          <w:cantSplit w:val="0"/>
          <w:trHeight w:val="5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F">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0">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1">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2">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3">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4">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5">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7">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9">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A">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B">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C">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D">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E">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0">
      <w:pPr>
        <w:numPr>
          <w:ilvl w:val="1"/>
          <w:numId w:val="7"/>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1">
      <w:pPr>
        <w:numPr>
          <w:ilvl w:val="1"/>
          <w:numId w:val="7"/>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102">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w:t>
      </w:r>
      <w:r w:rsidDel="00000000" w:rsidR="00000000" w:rsidRPr="00000000">
        <w:rPr>
          <w:rFonts w:ascii="Times New Roman" w:cs="Times New Roman" w:eastAsia="Times New Roman" w:hAnsi="Times New Roman"/>
          <w:rtl w:val="0"/>
        </w:rPr>
        <w:t xml:space="preserve">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104">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rtl w:val="0"/>
        </w:rPr>
        <w:t xml:space="preserve">Los pasajeros con nacionalidad colombiana están exentos de visa Schengen, será necesario que el pasajero tramite la autorización electrónica de viaje ETIAS, una vez comience a regir por disposición de las autoridades competentes.</w:t>
      </w:r>
      <w:r w:rsidDel="00000000" w:rsidR="00000000" w:rsidRPr="00000000">
        <w:rPr>
          <w:rtl w:val="0"/>
        </w:rPr>
      </w:r>
    </w:p>
    <w:p w:rsidR="00000000" w:rsidDel="00000000" w:rsidP="00000000" w:rsidRDefault="00000000" w:rsidRPr="00000000" w14:paraId="00000105">
      <w:pPr>
        <w:numPr>
          <w:ilvl w:val="0"/>
          <w:numId w:val="6"/>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0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w:t>
      </w:r>
      <w:r w:rsidDel="00000000" w:rsidR="00000000" w:rsidRPr="00000000">
        <w:rPr>
          <w:rFonts w:ascii="Times New Roman" w:cs="Times New Roman" w:eastAsia="Times New Roman" w:hAnsi="Times New Roman"/>
          <w:rtl w:val="0"/>
        </w:rPr>
        <w:t xml:space="preserve">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107">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0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10">
      <w:pPr>
        <w:numPr>
          <w:ilvl w:val="0"/>
          <w:numId w:val="5"/>
        </w:numPr>
        <w:pBdr>
          <w:top w:space="0" w:sz="0" w:val="nil"/>
          <w:left w:space="0" w:sz="0" w:val="nil"/>
          <w:bottom w:space="0" w:sz="0" w:val="nil"/>
          <w:right w:space="0" w:sz="0" w:val="nil"/>
          <w:between w:space="0" w:sz="0" w:val="nil"/>
        </w:pBdr>
        <w:spacing w:after="0" w:line="240" w:lineRule="auto"/>
        <w:ind w:left="283" w:firstLine="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ind w:left="283" w:firstLine="0"/>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gjdgxs" w:id="4"/>
      <w:bookmarkEnd w:id="4"/>
      <w:r w:rsidDel="00000000" w:rsidR="00000000" w:rsidRPr="00000000">
        <w:rPr>
          <w:rtl w:val="0"/>
        </w:rPr>
      </w:r>
    </w:p>
    <w:p w:rsidR="00000000" w:rsidDel="00000000" w:rsidP="00000000" w:rsidRDefault="00000000" w:rsidRPr="00000000" w14:paraId="00000115">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6">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1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s0l5f9si28bn" w:id="5"/>
      <w:bookmarkEnd w:id="5"/>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283" w:firstLine="0"/>
      </w:pPr>
      <w:rPr>
        <w:rFonts w:ascii="Noto Sans Symbols" w:cs="Noto Sans Symbols" w:eastAsia="Noto Sans Symbols" w:hAnsi="Noto Sans Symbols"/>
      </w:rPr>
    </w:lvl>
    <w:lvl w:ilvl="1">
      <w:start w:val="1"/>
      <w:numFmt w:val="bullet"/>
      <w:lvlText w:val="●"/>
      <w:lvlJc w:val="left"/>
      <w:pPr>
        <w:ind w:left="1723" w:hanging="360"/>
      </w:pPr>
      <w:rPr>
        <w:rFonts w:ascii="Noto Sans Symbols" w:cs="Noto Sans Symbols" w:eastAsia="Noto Sans Symbols" w:hAnsi="Noto Sans Symbols"/>
        <w:sz w:val="20"/>
        <w:szCs w:val="20"/>
      </w:rPr>
    </w:lvl>
    <w:lvl w:ilvl="2">
      <w:start w:val="0"/>
      <w:numFmt w:val="decimal"/>
      <w:lvlText w:val=""/>
      <w:lvlJc w:val="left"/>
      <w:pPr>
        <w:ind w:left="283" w:firstLine="0"/>
      </w:pPr>
      <w:rPr/>
    </w:lvl>
    <w:lvl w:ilvl="3">
      <w:start w:val="0"/>
      <w:numFmt w:val="decimal"/>
      <w:lvlText w:val=""/>
      <w:lvlJc w:val="left"/>
      <w:pPr>
        <w:ind w:left="283" w:firstLine="0"/>
      </w:pPr>
      <w:rPr/>
    </w:lvl>
    <w:lvl w:ilvl="4">
      <w:start w:val="0"/>
      <w:numFmt w:val="decimal"/>
      <w:lvlText w:val=""/>
      <w:lvlJc w:val="left"/>
      <w:pPr>
        <w:ind w:left="283" w:firstLine="0"/>
      </w:pPr>
      <w:rPr/>
    </w:lvl>
    <w:lvl w:ilvl="5">
      <w:start w:val="0"/>
      <w:numFmt w:val="decimal"/>
      <w:lvlText w:val=""/>
      <w:lvlJc w:val="left"/>
      <w:pPr>
        <w:ind w:left="283" w:firstLine="0"/>
      </w:pPr>
      <w:rPr/>
    </w:lvl>
    <w:lvl w:ilvl="6">
      <w:start w:val="0"/>
      <w:numFmt w:val="decimal"/>
      <w:lvlText w:val=""/>
      <w:lvlJc w:val="left"/>
      <w:pPr>
        <w:ind w:left="283" w:firstLine="0"/>
      </w:pPr>
      <w:rPr/>
    </w:lvl>
    <w:lvl w:ilvl="7">
      <w:start w:val="0"/>
      <w:numFmt w:val="decimal"/>
      <w:lvlText w:val=""/>
      <w:lvlJc w:val="left"/>
      <w:pPr>
        <w:ind w:left="283" w:firstLine="0"/>
      </w:pPr>
      <w:rPr/>
    </w:lvl>
    <w:lvl w:ilvl="8">
      <w:start w:val="0"/>
      <w:numFmt w:val="decimal"/>
      <w:lvlText w:val=""/>
      <w:lvlJc w:val="left"/>
      <w:pPr>
        <w:ind w:left="283"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paragraph" w:styleId="Default" w:customStyle="1">
    <w:name w:val="Default"/>
    <w:rsid w:val="003642E0"/>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rive.google.com/uc?export=download&amp;id=1PXff-D6DWtRAewV64a1SjNtwg0CCVmS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4ezTR+ixAOyY4jkaHrbeQfEvgA==">CgMxLjAyCWguMzBqMHpsbDIJaC4zem55c2g3Mg1oLmFyaXc3OHp3djBmMg5oLjN4bXo5OGFjcGlvbzIIaC5namRneHMyDmguczBsNWY5c2kyOGJuOAByITFoWGtoUzY4WFBhbVhUbzU1OE1Ia0tZeU1EVEtXb3JLQw==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2026-06-01T17:38:00Z</dcterms:created>
  <dc:creator>David Javier Plazas Velasquez</dc:creator>
</cp:coreProperties>
</file>